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FD03F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0514E286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0D42D5CC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58109F8A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10C56653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7FF334EC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“ISKRA” d.o.o.</w:t>
      </w:r>
    </w:p>
    <w:p w14:paraId="30423979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Direktoru</w:t>
      </w:r>
    </w:p>
    <w:p w14:paraId="77A3949F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Vladimiru Miljeviću</w:t>
      </w:r>
    </w:p>
    <w:p w14:paraId="59898468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0BA9724F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PREDMET: Pitanja insajdera.</w:t>
      </w:r>
    </w:p>
    <w:p w14:paraId="7E930315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----------------------------------------------------------------------</w:t>
      </w:r>
    </w:p>
    <w:p w14:paraId="68EA3A48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Povodom fantomskog rušenja u Savamali u noći 24/25.04.2016.godine u toku su sledeći sudski postupci:</w:t>
      </w:r>
    </w:p>
    <w:p w14:paraId="7CCACD85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0B3B60B4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1.Krivični postupci na osnovu podnete krivične prijave pred Prvim osnovnim javnim tužilaštvom u Beogradu i Višim javnim tužilaštvom u Beogradu.</w:t>
      </w:r>
    </w:p>
    <w:p w14:paraId="7FF996C1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25196140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Odmah nakon fantomskog rušenja, već sledećeg dana 25.04.2016.godine podneta je krivična prijava Prvom osnovnom javnom tužilaštvu, koje je predmet ustupilo Višem javnom tužilaštvu u Beogradu.</w:t>
      </w:r>
    </w:p>
    <w:p w14:paraId="59B4A6E5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02738672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“ISKRA” d.o.o. nikada nije pozvana od tužilaštva da da bilo kakvu izjavu ili obaveštenje o dogadjajima.</w:t>
      </w:r>
    </w:p>
    <w:p w14:paraId="24F9826E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130D8697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2.Parnični postupak za naknadu štete.</w:t>
      </w:r>
    </w:p>
    <w:p w14:paraId="08F1040F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21356594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Pred Privrednim sudom u Beogradu u toku je parnični postupak za naknadu štete za porušene objekte i oduzeto zemljište, i tužba je podneta protiv “Millennium team”, “Beograda na vodi”, Grada Beograda i Republike Srbije.</w:t>
      </w:r>
    </w:p>
    <w:p w14:paraId="1886A61A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009EE3EE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U toku prvostepenog postupka je izvedeno vrlo malo dokaza, većina dokaznih predloga “ISKRE” je odbijena i sud je doneo dosta čudnu presudu, pa je utvrdio da postoji osnov odgovornosti za štetu prema Republici Srbiji, a odbio je tužbeni zahtev u odnosu na “Millennium team”, “Beograd na vodi” i Grad Beograd.</w:t>
      </w:r>
    </w:p>
    <w:p w14:paraId="6A9AC294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4E278C8B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Obrazloženje takve presude u odnosu na usvojeni deo tužbenog zahteva prema Republici Srbiji se u pretežnom delu zasnivao na krivičnoj odgovornosti policijskog službenika Gorana Stamenkovića, ali i na tome da je država dužna da obezbedi mir i sigurnost svojih gradjana i zaštitu njihove imovine.</w:t>
      </w:r>
    </w:p>
    <w:p w14:paraId="5E47A190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7D0DEED2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Što se tiče toga da je sud odbio da su i ostali tuženi odgovorni za štetu, obrazloženo je tako da za tu činjenicu nema dokaza.</w:t>
      </w:r>
    </w:p>
    <w:p w14:paraId="1A8FE281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1CF13E37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Protiv prvostepene presude je žalbu uložio državni pravobranilac i punomoćnik “ISKRE” d.o.o., i pre nekoliko nedelja žalbe su usvojene i predmet vraćen prvostepenom sudu na ponovni postupak.</w:t>
      </w:r>
    </w:p>
    <w:p w14:paraId="6DEC852A" w14:textId="77777777" w:rsidR="00DE53D6" w:rsidRDefault="00DE53D6" w:rsidP="00DE53D6">
      <w:pPr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br w:type="page"/>
      </w:r>
    </w:p>
    <w:p w14:paraId="25BD9D83" w14:textId="77777777" w:rsidR="00DE53D6" w:rsidRPr="003D4265" w:rsidRDefault="00DE53D6" w:rsidP="00DE53D6">
      <w:pPr>
        <w:pStyle w:val="ListParagraph"/>
        <w:numPr>
          <w:ilvl w:val="0"/>
          <w:numId w:val="1"/>
        </w:numPr>
        <w:jc w:val="center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lastRenderedPageBreak/>
        <w:t>2 -</w:t>
      </w:r>
    </w:p>
    <w:p w14:paraId="76506ACD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061E2DDE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Postoji nalog drugostepenog suda, po kome je prvostepeni sud dužan da postupi, te treba da se izvedu dokazi koji su odbijeni, kao što je pribavljanje spisa i čitanje izveštaja Zaštitnika gradjana, saslušanje svedoka Gorana Stamenkovića, saslušanje svedoka-policijskog službenika Veljin Igora koji je odbio da primi krivičnu prijavu, gledanje video zapisa koji je u posedu mreže KRIK, kao i veštačenje visine štete.</w:t>
      </w:r>
    </w:p>
    <w:p w14:paraId="4ED246A2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73EC9C66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Prvo sudjenje u ponovljenom postupku je zakazano za dan 06.06.2023.godine a u predmetu sudi sudija Marija Medenica.</w:t>
      </w:r>
    </w:p>
    <w:p w14:paraId="5738F64E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3F4DF4EA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Iako je sud bio dužan da nakon ukidanja presude novu glavnu raspravu zakaže i održi u roku od 30 dana, to se nije dogodilo, što kreira odredjeni signal da će se i u ponovljenom postupku odugovlačiti sa sudjenjem, te kako stvari stoje, ako se tim tempom nastavi,  do nove prvostepene presude bismo mogli da dodjemo tek krajem 2024.godine.</w:t>
      </w:r>
    </w:p>
    <w:p w14:paraId="2CB98209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63BE629E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Prema tome, prvostepeni postupak je praktično na početku, iako Privredni sud u Beogradu uopšte nije opterećen predmetima kao redovni sudovi, te je potpuno moguće i izvodljivo da se ročišta zakazuju na mesec dana.</w:t>
      </w:r>
    </w:p>
    <w:p w14:paraId="19DA2EF4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6247FB2A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3.Postupak pred sudom u Strazburu.</w:t>
      </w:r>
    </w:p>
    <w:p w14:paraId="7E7B60C2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5E3BDEE5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“ISKRA” d.o.o. je podnela nekoliko predstavki Evropskom sudu za ljudska prava u Strazburu, a te predstavke se odnose na više sudskih postupaka koji su bili okončani nepovoljno, u smislu da je za rušenje objekata čak i pre fantomskog rušenja za koje je pravnosnažno utvrdjeno da su ih srušili “Beograd na vodi” i “Millennium team”, sud odbio da pruži državinsku zaštitu i da naloži uspostavljanje predjašnjeg stanja, što je nužna zakonska posledica kada se utvrdi smetanje poseda kao što se kod nas utvrdilo.</w:t>
      </w:r>
    </w:p>
    <w:p w14:paraId="39E2F11A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52483A3A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Podneta je predstavka sudu u Strazburu i protiv odluke suda da Grad Beograd nije oduzeo državinu fantomskim rušenjem, iako je na Grad Beograd jasno i nedvosmisleno u javnom nastupu ukazao predsednik Republike, te su svi ovi postupci spojeni u jedan i vode se pod zajedničkim brojem 53002/21.</w:t>
      </w:r>
    </w:p>
    <w:p w14:paraId="37EE9D5C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5817A78A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Krajem novembra 2022.godine primljen je dopis suda u Strazburu kojim je i “ISKRI” i Republici Srbiji ostavljen rok od 12 nedelja za postizanje “prijateljskog poravnanja”.</w:t>
      </w:r>
    </w:p>
    <w:p w14:paraId="1E834029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2C41355E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Državni pravobranilac je odbio bilo kakve pregovore radi mirnog rešenja spora i o tome je obavestio sud u Strazburu 17.02.2023.godine.</w:t>
      </w:r>
    </w:p>
    <w:p w14:paraId="5CA93422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6241E626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Nakon toga, otvoren je glavni postupak ispitivanja osnovanosti predstavke i zahteva za pravično zadovoljenje, te je ostavljen rok Državnom pravobraniocu tj.Republici Srbiji da da odgovor na tužbu do 17.maja 2023.godine.</w:t>
      </w:r>
    </w:p>
    <w:p w14:paraId="15272BEE" w14:textId="77777777" w:rsidR="00DE53D6" w:rsidRDefault="00DE53D6" w:rsidP="00DE53D6">
      <w:pPr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br w:type="page"/>
      </w:r>
    </w:p>
    <w:p w14:paraId="1ACD010F" w14:textId="77777777" w:rsidR="00DE53D6" w:rsidRPr="003D4265" w:rsidRDefault="00DE53D6" w:rsidP="00DE53D6">
      <w:pPr>
        <w:pStyle w:val="ListParagraph"/>
        <w:numPr>
          <w:ilvl w:val="0"/>
          <w:numId w:val="1"/>
        </w:numPr>
        <w:jc w:val="center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lastRenderedPageBreak/>
        <w:t>3 -</w:t>
      </w:r>
    </w:p>
    <w:p w14:paraId="45AE6DBF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4FB5154C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Nama je i dalje neshvatljivo da smo prinudjeni da vodimo beskonačne postupke po domaćim sudovima, a da se na kraju oslanjamo na sud u Strazburu, te se pitamo da li je moguće da će naši sudovi ignorisati primenu prava, kao što su do sada radili, te da će naše zakone primenjivati Strazbur.</w:t>
      </w:r>
    </w:p>
    <w:p w14:paraId="70FEE770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7E01A3ED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Kako stvari za sada stoje, sva je prilika da će tako biti, te da je situacija koja se “ISKRI” dogodila poznata u celom svetu, samo naše sudije i tužioci, iz njima znanih razloga, odbijaju da pogledaju istini u oči i da podele pravdu onako kako sudijska zakletva to od njih traži.</w:t>
      </w:r>
    </w:p>
    <w:p w14:paraId="1FFABF33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</w:p>
    <w:p w14:paraId="7185C3FE" w14:textId="77777777" w:rsidR="00DE53D6" w:rsidRDefault="00DE53D6" w:rsidP="00DE53D6">
      <w:pPr>
        <w:jc w:val="both"/>
        <w:rPr>
          <w:rFonts w:ascii="Courier New" w:eastAsia="Times New Roman" w:hAnsi="Courier New" w:cs="Courier New"/>
          <w:b/>
          <w:bCs/>
          <w:color w:val="000000"/>
        </w:rPr>
      </w:pPr>
      <w:r>
        <w:rPr>
          <w:rFonts w:ascii="Courier New" w:eastAsia="Times New Roman" w:hAnsi="Courier New" w:cs="Courier New"/>
          <w:b/>
          <w:bCs/>
          <w:color w:val="000000"/>
        </w:rPr>
        <w:t>Beograd, 21.04.2023.godine</w:t>
      </w:r>
      <w:r>
        <w:rPr>
          <w:rFonts w:ascii="Courier New" w:eastAsia="Times New Roman" w:hAnsi="Courier New" w:cs="Courier New"/>
          <w:b/>
          <w:bCs/>
          <w:color w:val="000000"/>
        </w:rPr>
        <w:tab/>
      </w:r>
      <w:r>
        <w:rPr>
          <w:rFonts w:ascii="Courier New" w:eastAsia="Times New Roman" w:hAnsi="Courier New" w:cs="Courier New"/>
          <w:b/>
          <w:bCs/>
          <w:color w:val="000000"/>
        </w:rPr>
        <w:tab/>
      </w:r>
      <w:r>
        <w:rPr>
          <w:rFonts w:ascii="Courier New" w:eastAsia="Times New Roman" w:hAnsi="Courier New" w:cs="Courier New"/>
          <w:b/>
          <w:bCs/>
          <w:color w:val="000000"/>
        </w:rPr>
        <w:tab/>
      </w:r>
      <w:r>
        <w:rPr>
          <w:rFonts w:ascii="Courier New" w:eastAsia="Times New Roman" w:hAnsi="Courier New" w:cs="Courier New"/>
          <w:b/>
          <w:bCs/>
          <w:color w:val="000000"/>
        </w:rPr>
        <w:tab/>
        <w:t>Adv. Matić M. Ana</w:t>
      </w:r>
    </w:p>
    <w:p w14:paraId="763EC779" w14:textId="77777777" w:rsidR="00B43DF9" w:rsidRDefault="00B43DF9"/>
    <w:sectPr w:rsidR="00B43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9A0D04"/>
    <w:multiLevelType w:val="hybridMultilevel"/>
    <w:tmpl w:val="B73ABC94"/>
    <w:lvl w:ilvl="0" w:tplc="2BCA4056">
      <w:start w:val="3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D6"/>
    <w:rsid w:val="00B43DF9"/>
    <w:rsid w:val="00DE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1DE5E"/>
  <w15:chartTrackingRefBased/>
  <w15:docId w15:val="{EBB21D93-0B9A-41C6-B8A1-78F596A2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2023-04-21T11:57:00Z</dcterms:created>
  <dcterms:modified xsi:type="dcterms:W3CDTF">2023-04-21T11:57:00Z</dcterms:modified>
</cp:coreProperties>
</file>